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277B" w:rsidRDefault="0081277B" w:rsidP="00730D3E">
      <w:pPr>
        <w:pStyle w:val="4"/>
        <w:tabs>
          <w:tab w:val="left" w:pos="10490"/>
        </w:tabs>
        <w:ind w:right="-144"/>
        <w:rPr>
          <w:sz w:val="24"/>
          <w:szCs w:val="24"/>
        </w:rPr>
      </w:pPr>
    </w:p>
    <w:p w:rsidR="0081277B" w:rsidRDefault="0081277B" w:rsidP="00730D3E">
      <w:pPr>
        <w:pStyle w:val="4"/>
        <w:tabs>
          <w:tab w:val="left" w:pos="10490"/>
        </w:tabs>
        <w:ind w:right="-144"/>
        <w:rPr>
          <w:sz w:val="24"/>
          <w:szCs w:val="24"/>
        </w:rPr>
      </w:pPr>
    </w:p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договора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аренды земельн</w:t>
      </w:r>
      <w:r w:rsidR="00DA6ED1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DA6ED1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Pr="00730D3E">
        <w:rPr>
          <w:rFonts w:ascii="Times New Roman" w:hAnsi="Times New Roman"/>
          <w:sz w:val="24"/>
          <w:szCs w:val="24"/>
        </w:rPr>
        <w:t xml:space="preserve"> аренды земельн</w:t>
      </w:r>
      <w:r w:rsidR="00AC0A94">
        <w:rPr>
          <w:rFonts w:ascii="Times New Roman" w:hAnsi="Times New Roman"/>
          <w:sz w:val="24"/>
          <w:szCs w:val="24"/>
        </w:rPr>
        <w:t>ых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AC0A94">
        <w:rPr>
          <w:rStyle w:val="3TimesNewRoman"/>
          <w:rFonts w:eastAsia="Courier New"/>
          <w:b w:val="0"/>
          <w:i w:val="0"/>
          <w:sz w:val="24"/>
          <w:szCs w:val="24"/>
        </w:rPr>
        <w:t>ов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 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EC7459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>
        <w:rPr>
          <w:b/>
          <w:bCs/>
          <w:sz w:val="24"/>
        </w:rPr>
        <w:t>1</w:t>
      </w:r>
      <w:r w:rsidR="0097636D">
        <w:rPr>
          <w:b/>
          <w:bCs/>
          <w:sz w:val="24"/>
        </w:rPr>
        <w:t>3</w:t>
      </w:r>
      <w:r>
        <w:rPr>
          <w:b/>
          <w:bCs/>
          <w:sz w:val="24"/>
        </w:rPr>
        <w:t xml:space="preserve"> февраля 2026</w:t>
      </w:r>
      <w:r w:rsidR="00CB49A8" w:rsidRPr="00C35434">
        <w:rPr>
          <w:b/>
          <w:bCs/>
          <w:sz w:val="24"/>
        </w:rPr>
        <w:t xml:space="preserve"> года в </w:t>
      </w:r>
      <w:r w:rsidR="00721898">
        <w:rPr>
          <w:b/>
          <w:bCs/>
          <w:sz w:val="24"/>
        </w:rPr>
        <w:t>09</w:t>
      </w:r>
      <w:r w:rsidR="00CB49A8" w:rsidRPr="00C35434">
        <w:rPr>
          <w:b/>
          <w:bCs/>
          <w:sz w:val="24"/>
        </w:rPr>
        <w:t>.00 часов</w:t>
      </w:r>
      <w:r w:rsidR="00CB49A8" w:rsidRPr="00730D3E">
        <w:rPr>
          <w:b/>
          <w:bCs/>
          <w:sz w:val="24"/>
        </w:rPr>
        <w:t xml:space="preserve"> по московскому времени </w:t>
      </w:r>
      <w:r w:rsidR="00CB49A8" w:rsidRPr="00730D3E">
        <w:rPr>
          <w:b/>
          <w:spacing w:val="-6"/>
          <w:sz w:val="24"/>
        </w:rPr>
        <w:t xml:space="preserve">на электронной торговой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5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>о размере арендной платы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аренды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65599B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65599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bookmarkStart w:id="0" w:name="_Hlk203744028"/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5A74A0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68252F">
        <w:rPr>
          <w:rFonts w:eastAsia="Calibri"/>
          <w:color w:val="000000"/>
        </w:rPr>
        <w:t xml:space="preserve"> </w:t>
      </w:r>
      <w:proofErr w:type="spellStart"/>
      <w:r w:rsidR="00B43C03">
        <w:rPr>
          <w:rFonts w:eastAsia="Calibri"/>
          <w:color w:val="000000"/>
        </w:rPr>
        <w:t>Дальнеконстантиновский</w:t>
      </w:r>
      <w:proofErr w:type="spellEnd"/>
      <w:r w:rsidR="00CF5DE6">
        <w:rPr>
          <w:rFonts w:eastAsia="Calibri"/>
          <w:color w:val="000000"/>
        </w:rPr>
        <w:t xml:space="preserve"> муниципальный район</w:t>
      </w:r>
      <w:r w:rsidR="0065599B">
        <w:rPr>
          <w:rFonts w:eastAsia="Calibri"/>
          <w:color w:val="000000"/>
        </w:rPr>
        <w:t xml:space="preserve">, </w:t>
      </w:r>
      <w:r w:rsidR="00CF5DE6">
        <w:rPr>
          <w:rFonts w:eastAsia="Calibri"/>
          <w:color w:val="000000"/>
        </w:rPr>
        <w:t xml:space="preserve">сельское поселение </w:t>
      </w:r>
      <w:proofErr w:type="spellStart"/>
      <w:r w:rsidR="00CF5DE6">
        <w:rPr>
          <w:rFonts w:eastAsia="Calibri"/>
          <w:color w:val="000000"/>
        </w:rPr>
        <w:t>Тепелевский</w:t>
      </w:r>
      <w:proofErr w:type="spellEnd"/>
      <w:r w:rsidR="00CF5DE6">
        <w:rPr>
          <w:rFonts w:eastAsia="Calibri"/>
          <w:color w:val="000000"/>
        </w:rPr>
        <w:t xml:space="preserve"> сельсовет</w:t>
      </w:r>
      <w:r w:rsidR="0065599B">
        <w:rPr>
          <w:rFonts w:eastAsia="Calibri"/>
          <w:color w:val="000000"/>
        </w:rPr>
        <w:t>,</w:t>
      </w:r>
      <w:r w:rsidR="0068252F">
        <w:rPr>
          <w:rFonts w:eastAsia="Calibri"/>
          <w:color w:val="000000"/>
        </w:rPr>
        <w:t xml:space="preserve"> </w:t>
      </w:r>
      <w:proofErr w:type="spellStart"/>
      <w:r w:rsidR="00CF5DE6">
        <w:rPr>
          <w:rFonts w:eastAsia="Calibri"/>
          <w:color w:val="000000"/>
        </w:rPr>
        <w:t>р.п</w:t>
      </w:r>
      <w:proofErr w:type="spellEnd"/>
      <w:r w:rsidR="00CF5DE6">
        <w:rPr>
          <w:rFonts w:eastAsia="Calibri"/>
          <w:color w:val="000000"/>
        </w:rPr>
        <w:t>. Дальнее Константиново, в одном километре юго-восточнее ул. Молодежная,</w:t>
      </w:r>
      <w:r w:rsidR="005A74A0">
        <w:rPr>
          <w:rFonts w:eastAsia="Calibri"/>
          <w:color w:val="000000"/>
        </w:rPr>
        <w:t xml:space="preserve"> </w:t>
      </w:r>
      <w:r w:rsidR="00CF5DE6">
        <w:rPr>
          <w:rFonts w:eastAsia="Calibri"/>
          <w:color w:val="000000"/>
        </w:rPr>
        <w:t xml:space="preserve">земельный </w:t>
      </w:r>
      <w:r w:rsidR="0065599B">
        <w:rPr>
          <w:rFonts w:eastAsia="Calibri"/>
          <w:color w:val="000000"/>
        </w:rPr>
        <w:t xml:space="preserve">участок </w:t>
      </w:r>
      <w:r w:rsidR="00CF5DE6">
        <w:rPr>
          <w:rFonts w:eastAsia="Calibri"/>
          <w:color w:val="000000"/>
        </w:rPr>
        <w:t>809</w:t>
      </w:r>
      <w:r w:rsidR="00B43C03">
        <w:rPr>
          <w:rFonts w:eastAsia="Calibri"/>
          <w:color w:val="000000"/>
        </w:rPr>
        <w:t>;</w:t>
      </w:r>
    </w:p>
    <w:p w:rsidR="007D5C94" w:rsidRPr="00995D38" w:rsidRDefault="007D5C94" w:rsidP="0065599B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Pr="00995D38">
        <w:rPr>
          <w:rFonts w:ascii="Times New Roman" w:hAnsi="Times New Roman"/>
          <w:sz w:val="24"/>
          <w:szCs w:val="24"/>
        </w:rPr>
        <w:t xml:space="preserve">земли </w:t>
      </w:r>
      <w:r w:rsidR="00CF5DE6">
        <w:rPr>
          <w:rFonts w:ascii="Times New Roman" w:hAnsi="Times New Roman"/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65599B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CF5DE6">
        <w:rPr>
          <w:rFonts w:ascii="Times New Roman" w:hAnsi="Times New Roman" w:cs="Times New Roman"/>
        </w:rPr>
        <w:t>06</w:t>
      </w:r>
      <w:r w:rsidR="00B43C03">
        <w:rPr>
          <w:rFonts w:ascii="Times New Roman" w:hAnsi="Times New Roman" w:cs="Times New Roman"/>
        </w:rPr>
        <w:t>000</w:t>
      </w:r>
      <w:r w:rsidR="0065599B">
        <w:rPr>
          <w:rFonts w:ascii="Times New Roman" w:hAnsi="Times New Roman" w:cs="Times New Roman"/>
        </w:rPr>
        <w:t>1</w:t>
      </w:r>
      <w:r w:rsidR="00CF5DE6">
        <w:rPr>
          <w:rFonts w:ascii="Times New Roman" w:hAnsi="Times New Roman" w:cs="Times New Roman"/>
        </w:rPr>
        <w:t>3</w:t>
      </w:r>
      <w:r w:rsidR="00B43C03">
        <w:rPr>
          <w:rFonts w:ascii="Times New Roman" w:hAnsi="Times New Roman" w:cs="Times New Roman"/>
        </w:rPr>
        <w:t>:</w:t>
      </w:r>
      <w:r w:rsidR="00CF5DE6">
        <w:rPr>
          <w:rFonts w:ascii="Times New Roman" w:hAnsi="Times New Roman" w:cs="Times New Roman"/>
        </w:rPr>
        <w:t>714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65599B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CF5DE6">
        <w:rPr>
          <w:rFonts w:ascii="Times New Roman" w:hAnsi="Times New Roman"/>
          <w:sz w:val="24"/>
          <w:szCs w:val="24"/>
        </w:rPr>
        <w:t xml:space="preserve">5923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65599B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– </w:t>
      </w:r>
      <w:r w:rsidR="00CF5DE6">
        <w:rPr>
          <w:rFonts w:eastAsia="Calibri"/>
          <w:color w:val="000000"/>
        </w:rPr>
        <w:t>коммунальное обслуживание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68252F" w:rsidRPr="0068252F" w:rsidRDefault="0068252F" w:rsidP="0065599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68252F">
        <w:rPr>
          <w:rStyle w:val="3TimesNewRoman"/>
          <w:rFonts w:eastAsia="Courier New"/>
          <w:i w:val="0"/>
          <w:iCs w:val="0"/>
          <w:sz w:val="24"/>
          <w:szCs w:val="24"/>
        </w:rPr>
        <w:t>Целевое назначение</w:t>
      </w: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 – </w:t>
      </w:r>
      <w:r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для целей, не связанных со строительством, для временного складирования</w:t>
      </w:r>
      <w:r w:rsidR="0069679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 твердых</w:t>
      </w:r>
      <w:r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 коммунальных отходов;</w:t>
      </w:r>
    </w:p>
    <w:p w:rsidR="007D5C94" w:rsidRPr="00C87E51" w:rsidRDefault="007D5C94" w:rsidP="0065599B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Style w:val="af"/>
          <w:rFonts w:ascii="Times New Roman" w:hAnsi="Times New Roman"/>
          <w:sz w:val="24"/>
          <w:szCs w:val="24"/>
        </w:rPr>
        <w:t>Вид приобретаемого права:</w:t>
      </w:r>
      <w:r w:rsidRPr="00C87E51">
        <w:rPr>
          <w:rFonts w:ascii="Times New Roman" w:hAnsi="Times New Roman"/>
          <w:sz w:val="24"/>
          <w:szCs w:val="24"/>
        </w:rPr>
        <w:t xml:space="preserve"> аренда сроком на </w:t>
      </w:r>
      <w:r w:rsidR="00CF5DE6">
        <w:rPr>
          <w:rFonts w:ascii="Times New Roman" w:hAnsi="Times New Roman"/>
          <w:sz w:val="24"/>
          <w:szCs w:val="24"/>
        </w:rPr>
        <w:t>10</w:t>
      </w:r>
      <w:r w:rsidR="002620CD">
        <w:rPr>
          <w:rFonts w:ascii="Times New Roman" w:hAnsi="Times New Roman"/>
          <w:sz w:val="24"/>
          <w:szCs w:val="24"/>
        </w:rPr>
        <w:t xml:space="preserve"> (</w:t>
      </w:r>
      <w:r w:rsidR="00CF5DE6">
        <w:rPr>
          <w:rFonts w:ascii="Times New Roman" w:hAnsi="Times New Roman"/>
          <w:sz w:val="24"/>
          <w:szCs w:val="24"/>
        </w:rPr>
        <w:t>десять</w:t>
      </w:r>
      <w:r w:rsidR="002620CD">
        <w:rPr>
          <w:rFonts w:ascii="Times New Roman" w:hAnsi="Times New Roman"/>
          <w:sz w:val="24"/>
          <w:szCs w:val="24"/>
        </w:rPr>
        <w:t>) лет</w:t>
      </w:r>
      <w:r w:rsidRPr="00C87E51">
        <w:rPr>
          <w:rFonts w:ascii="Times New Roman" w:hAnsi="Times New Roman"/>
          <w:sz w:val="24"/>
          <w:szCs w:val="24"/>
        </w:rPr>
        <w:t xml:space="preserve">; </w:t>
      </w:r>
    </w:p>
    <w:p w:rsidR="007D5C94" w:rsidRPr="00C87E51" w:rsidRDefault="007D5C94" w:rsidP="0065599B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 xml:space="preserve">: </w:t>
      </w:r>
      <w:r w:rsidRPr="00696798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C87E51">
        <w:rPr>
          <w:rFonts w:ascii="Times New Roman" w:hAnsi="Times New Roman"/>
          <w:sz w:val="24"/>
          <w:szCs w:val="24"/>
        </w:rPr>
        <w:t>;</w:t>
      </w:r>
    </w:p>
    <w:p w:rsidR="007D5C94" w:rsidRDefault="009B4F3D" w:rsidP="0065599B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r w:rsidR="0060516C" w:rsidRPr="00C87E51">
        <w:t xml:space="preserve">Постановление администрации Дальнеконстантиновского муниципального округа Нижегородской области </w:t>
      </w:r>
      <w:r w:rsidR="0060516C" w:rsidRPr="00B738BF">
        <w:t xml:space="preserve">от </w:t>
      </w:r>
      <w:r w:rsidR="00C67722" w:rsidRPr="00C67722">
        <w:t>18.12</w:t>
      </w:r>
      <w:r w:rsidR="0060516C" w:rsidRPr="00C67722">
        <w:t>.202</w:t>
      </w:r>
      <w:r w:rsidR="00C35434" w:rsidRPr="00C67722">
        <w:t>5</w:t>
      </w:r>
      <w:r w:rsidR="0060516C" w:rsidRPr="00C67722">
        <w:t xml:space="preserve"> №</w:t>
      </w:r>
      <w:r w:rsidR="005A74A0">
        <w:t xml:space="preserve"> </w:t>
      </w:r>
      <w:r w:rsidR="00C67722" w:rsidRPr="00C67722">
        <w:t>4178</w:t>
      </w:r>
      <w:r w:rsidR="0060516C" w:rsidRPr="00C67722">
        <w:t xml:space="preserve"> «О проведении</w:t>
      </w:r>
      <w:r w:rsidR="00C67722" w:rsidRPr="00C67722">
        <w:t xml:space="preserve"> </w:t>
      </w:r>
      <w:r w:rsidR="0060516C" w:rsidRPr="00C67722">
        <w:t>аукциона в электронной форме</w:t>
      </w:r>
      <w:r w:rsidRPr="00C67722">
        <w:t xml:space="preserve">, открытого по составу участников и форме подачи предложений по цене </w:t>
      </w:r>
      <w:r w:rsidR="0060516C" w:rsidRPr="00C67722">
        <w:t>на право заключения договор</w:t>
      </w:r>
      <w:r w:rsidR="00C67722" w:rsidRPr="00C67722">
        <w:t>а</w:t>
      </w:r>
      <w:r w:rsidR="0060516C" w:rsidRPr="00C67722">
        <w:t xml:space="preserve"> аренды земельн</w:t>
      </w:r>
      <w:r w:rsidR="00C67722" w:rsidRPr="00C67722">
        <w:t>ого</w:t>
      </w:r>
      <w:r w:rsidR="0060516C" w:rsidRPr="00C67722">
        <w:t xml:space="preserve"> участк</w:t>
      </w:r>
      <w:r w:rsidR="00C67722" w:rsidRPr="00C67722">
        <w:t>а</w:t>
      </w:r>
      <w:r w:rsidR="0060516C" w:rsidRPr="00C67722">
        <w:t>»</w:t>
      </w:r>
      <w:r w:rsidR="007D5C94" w:rsidRPr="00C67722">
        <w:t>;</w:t>
      </w:r>
      <w:r w:rsidR="007D5C94" w:rsidRPr="00C87E51">
        <w:t xml:space="preserve">  </w:t>
      </w:r>
    </w:p>
    <w:p w:rsidR="007D5C94" w:rsidRPr="008D2A04" w:rsidRDefault="007D5C94" w:rsidP="007D5C94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5A74A0">
        <w:rPr>
          <w:rStyle w:val="af"/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>
        <w:rPr>
          <w:rStyle w:val="af"/>
          <w:rFonts w:ascii="Times New Roman" w:hAnsi="Times New Roman"/>
          <w:sz w:val="24"/>
          <w:szCs w:val="24"/>
        </w:rPr>
        <w:t>ежегодной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арендной платы земельного участка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EC6CEB">
        <w:rPr>
          <w:rFonts w:ascii="Times New Roman" w:hAnsi="Times New Roman"/>
          <w:color w:val="000000" w:themeColor="text1"/>
          <w:sz w:val="24"/>
          <w:szCs w:val="24"/>
        </w:rPr>
        <w:t xml:space="preserve"> 109 522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EC6CEB">
        <w:rPr>
          <w:rFonts w:ascii="Times New Roman" w:hAnsi="Times New Roman"/>
          <w:color w:val="000000" w:themeColor="text1"/>
          <w:sz w:val="24"/>
          <w:szCs w:val="24"/>
        </w:rPr>
        <w:t>Сто девять тысяч пятьсот двадцать два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</w:t>
      </w:r>
      <w:r w:rsidR="00EC6CE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определена на основании отчета независимого оценщика ООО «ГОРОЦЕНКА» от </w:t>
      </w:r>
      <w:r w:rsidR="00EC6CEB">
        <w:rPr>
          <w:rFonts w:ascii="Times New Roman" w:hAnsi="Times New Roman"/>
          <w:color w:val="000000" w:themeColor="text1"/>
          <w:sz w:val="24"/>
          <w:szCs w:val="24"/>
        </w:rPr>
        <w:t>10.12</w:t>
      </w:r>
      <w:r w:rsidR="00CD3E1C">
        <w:rPr>
          <w:rFonts w:ascii="Times New Roman" w:hAnsi="Times New Roman"/>
          <w:color w:val="000000" w:themeColor="text1"/>
          <w:sz w:val="24"/>
          <w:szCs w:val="24"/>
        </w:rPr>
        <w:t>.2025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EC6CEB">
        <w:rPr>
          <w:rFonts w:ascii="Times New Roman" w:hAnsi="Times New Roman"/>
          <w:color w:val="000000" w:themeColor="text1"/>
          <w:sz w:val="24"/>
          <w:szCs w:val="24"/>
        </w:rPr>
        <w:t>7067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7D5C94">
      <w:pPr>
        <w:pStyle w:val="23"/>
        <w:shd w:val="clear" w:color="auto" w:fill="auto"/>
        <w:spacing w:before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 </w:t>
      </w:r>
      <w:r w:rsidR="00CD3E1C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EC6CEB">
        <w:rPr>
          <w:rStyle w:val="af"/>
          <w:rFonts w:ascii="Times New Roman" w:hAnsi="Times New Roman"/>
          <w:b w:val="0"/>
          <w:sz w:val="24"/>
          <w:szCs w:val="24"/>
        </w:rPr>
        <w:t xml:space="preserve"> 109 522</w:t>
      </w:r>
      <w:r w:rsidR="0060516C" w:rsidRPr="00730D3E">
        <w:rPr>
          <w:rFonts w:ascii="Times New Roman" w:hAnsi="Times New Roman"/>
          <w:sz w:val="24"/>
          <w:szCs w:val="24"/>
        </w:rPr>
        <w:t xml:space="preserve"> (</w:t>
      </w:r>
      <w:r w:rsidR="00EC6CEB">
        <w:rPr>
          <w:rFonts w:ascii="Times New Roman" w:hAnsi="Times New Roman"/>
          <w:color w:val="000000" w:themeColor="text1"/>
          <w:sz w:val="24"/>
          <w:szCs w:val="24"/>
        </w:rPr>
        <w:t>сто девять тысяч пятьсот двадцать два</w:t>
      </w:r>
      <w:r w:rsidR="00AC0A94">
        <w:rPr>
          <w:rFonts w:ascii="Times New Roman" w:hAnsi="Times New Roman"/>
          <w:sz w:val="24"/>
          <w:szCs w:val="24"/>
        </w:rPr>
        <w:t xml:space="preserve">) </w:t>
      </w:r>
      <w:r w:rsidR="0060516C" w:rsidRPr="00AC0A94">
        <w:rPr>
          <w:rFonts w:ascii="Times New Roman" w:hAnsi="Times New Roman"/>
          <w:sz w:val="24"/>
          <w:szCs w:val="24"/>
        </w:rPr>
        <w:t>рубл</w:t>
      </w:r>
      <w:r w:rsidR="00EC6CEB">
        <w:rPr>
          <w:rFonts w:ascii="Times New Roman" w:hAnsi="Times New Roman"/>
          <w:sz w:val="24"/>
          <w:szCs w:val="24"/>
        </w:rPr>
        <w:t>я</w:t>
      </w:r>
      <w:r w:rsidR="0060516C" w:rsidRPr="00AC0A94">
        <w:rPr>
          <w:rFonts w:ascii="Times New Roman" w:hAnsi="Times New Roman"/>
          <w:sz w:val="24"/>
          <w:szCs w:val="24"/>
        </w:rPr>
        <w:t xml:space="preserve"> 00 копеек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EC6CEB">
        <w:rPr>
          <w:rStyle w:val="af"/>
          <w:rFonts w:ascii="Times New Roman" w:hAnsi="Times New Roman"/>
          <w:b w:val="0"/>
          <w:sz w:val="24"/>
          <w:szCs w:val="24"/>
        </w:rPr>
        <w:t xml:space="preserve">3 285 </w:t>
      </w:r>
      <w:r w:rsidRPr="00AC0A94">
        <w:rPr>
          <w:rFonts w:ascii="Times New Roman" w:hAnsi="Times New Roman"/>
          <w:sz w:val="24"/>
          <w:szCs w:val="24"/>
        </w:rPr>
        <w:t>(</w:t>
      </w:r>
      <w:r w:rsidR="00EC6CEB">
        <w:rPr>
          <w:rFonts w:ascii="Times New Roman" w:hAnsi="Times New Roman"/>
          <w:sz w:val="24"/>
          <w:szCs w:val="24"/>
        </w:rPr>
        <w:t>Три тысячи двести восемьдесят пять</w:t>
      </w:r>
      <w:r w:rsidRPr="00AC0A94">
        <w:rPr>
          <w:rFonts w:ascii="Times New Roman" w:hAnsi="Times New Roman"/>
          <w:sz w:val="24"/>
          <w:szCs w:val="24"/>
        </w:rPr>
        <w:t xml:space="preserve">) рублей </w:t>
      </w:r>
      <w:r w:rsidR="00EC6CEB">
        <w:rPr>
          <w:rFonts w:ascii="Times New Roman" w:hAnsi="Times New Roman"/>
          <w:sz w:val="24"/>
          <w:szCs w:val="24"/>
        </w:rPr>
        <w:t>66</w:t>
      </w:r>
      <w:r w:rsidRPr="00AC0A94">
        <w:rPr>
          <w:rFonts w:ascii="Times New Roman" w:hAnsi="Times New Roman"/>
          <w:sz w:val="24"/>
          <w:szCs w:val="24"/>
        </w:rPr>
        <w:t xml:space="preserve"> копеек.</w:t>
      </w:r>
    </w:p>
    <w:p w:rsidR="007D5C94" w:rsidRPr="00EC2C4E" w:rsidRDefault="007D5C94" w:rsidP="007D5C94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0516C">
      <w:pPr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F27145" w:rsidRPr="00F27145">
        <w:rPr>
          <w:bCs/>
        </w:rPr>
        <w:t>отсутствуют</w:t>
      </w:r>
      <w:r w:rsidR="00F27145">
        <w:rPr>
          <w:bCs/>
        </w:rPr>
        <w:t>.</w:t>
      </w:r>
    </w:p>
    <w:p w:rsidR="00BD08E1" w:rsidRDefault="00BD08E1" w:rsidP="0060516C">
      <w:pPr>
        <w:rPr>
          <w:bCs/>
        </w:rPr>
      </w:pPr>
      <w:r>
        <w:rPr>
          <w:bCs/>
        </w:rPr>
        <w:t xml:space="preserve">Земельный участок </w:t>
      </w:r>
      <w:r w:rsidR="0005616D">
        <w:rPr>
          <w:bCs/>
        </w:rPr>
        <w:t>выставлялся</w:t>
      </w:r>
      <w:r w:rsidR="00161E3B">
        <w:rPr>
          <w:bCs/>
        </w:rPr>
        <w:t xml:space="preserve"> на торги ранее</w:t>
      </w:r>
      <w:r w:rsidR="00C110BF">
        <w:rPr>
          <w:bCs/>
        </w:rPr>
        <w:t xml:space="preserve">. </w:t>
      </w:r>
    </w:p>
    <w:p w:rsidR="006303A8" w:rsidRPr="006303A8" w:rsidRDefault="006303A8" w:rsidP="006303A8">
      <w:pPr>
        <w:jc w:val="both"/>
        <w:rPr>
          <w:b/>
          <w:u w:val="single"/>
        </w:rPr>
      </w:pPr>
      <w:r w:rsidRPr="006303A8">
        <w:rPr>
          <w:b/>
          <w:u w:val="single"/>
        </w:rPr>
        <w:t>Минимальные и (или) максимальные размеры земельного участка не подлежат установлению.</w:t>
      </w:r>
    </w:p>
    <w:p w:rsidR="00F035B5" w:rsidRPr="0096265E" w:rsidRDefault="0096265E" w:rsidP="00B86476">
      <w:pPr>
        <w:numPr>
          <w:ilvl w:val="12"/>
          <w:numId w:val="0"/>
        </w:num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b/>
          <w:iCs/>
        </w:rPr>
      </w:pPr>
      <w:r w:rsidRPr="00696798">
        <w:rPr>
          <w:rStyle w:val="3TimesNewRoman"/>
          <w:b w:val="0"/>
          <w:i w:val="0"/>
          <w:color w:val="000000"/>
          <w:sz w:val="24"/>
          <w:szCs w:val="24"/>
        </w:rPr>
        <w:t>Информация о максимальных и (или) минимальных допустимых параметрах разрешенного строительства объектов капитального строительства отсутствует в связи с запретом</w:t>
      </w:r>
      <w:r w:rsidR="00696798" w:rsidRPr="00696798">
        <w:rPr>
          <w:rStyle w:val="3TimesNewRoman"/>
          <w:b w:val="0"/>
          <w:i w:val="0"/>
          <w:color w:val="000000"/>
          <w:sz w:val="24"/>
          <w:szCs w:val="24"/>
        </w:rPr>
        <w:t xml:space="preserve"> по целевому назначению</w:t>
      </w:r>
      <w:r w:rsidRPr="00696798">
        <w:rPr>
          <w:rStyle w:val="3TimesNewRoman"/>
          <w:b w:val="0"/>
          <w:i w:val="0"/>
          <w:color w:val="000000"/>
          <w:sz w:val="24"/>
          <w:szCs w:val="24"/>
        </w:rPr>
        <w:t xml:space="preserve"> на размещение объектов капитального строительства</w:t>
      </w:r>
      <w:r w:rsidR="00696798" w:rsidRPr="00696798">
        <w:rPr>
          <w:rStyle w:val="3TimesNewRoman"/>
          <w:b w:val="0"/>
          <w:i w:val="0"/>
          <w:color w:val="000000"/>
          <w:sz w:val="24"/>
          <w:szCs w:val="24"/>
        </w:rPr>
        <w:t>.</w:t>
      </w:r>
    </w:p>
    <w:bookmarkEnd w:id="0"/>
    <w:p w:rsidR="00CB49A8" w:rsidRDefault="00CB49A8" w:rsidP="00BC7C28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 xml:space="preserve">Нижегородская область, </w:t>
      </w:r>
      <w:proofErr w:type="spellStart"/>
      <w:r w:rsidR="00496DBE" w:rsidRPr="00496DBE">
        <w:rPr>
          <w:rFonts w:ascii="Times New Roman" w:hAnsi="Times New Roman"/>
          <w:sz w:val="24"/>
          <w:szCs w:val="24"/>
        </w:rPr>
        <w:t>Дальнеконстантиновский</w:t>
      </w:r>
      <w:proofErr w:type="spellEnd"/>
      <w:r w:rsidR="00496DBE" w:rsidRPr="00496DBE">
        <w:rPr>
          <w:rFonts w:ascii="Times New Roman" w:hAnsi="Times New Roman"/>
          <w:sz w:val="24"/>
          <w:szCs w:val="24"/>
        </w:rPr>
        <w:t xml:space="preserve"> район, р. п. Дальнее Константиново, ул. 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 -5-</w:t>
      </w:r>
      <w:r w:rsidR="00675293">
        <w:rPr>
          <w:rFonts w:ascii="Times New Roman" w:hAnsi="Times New Roman"/>
          <w:sz w:val="24"/>
          <w:szCs w:val="24"/>
        </w:rPr>
        <w:t>1</w:t>
      </w:r>
      <w:r w:rsidR="00BA1445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BA1445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proofErr w:type="spellStart"/>
      <w:r w:rsidR="00BA1445">
        <w:rPr>
          <w:rFonts w:ascii="Times New Roman" w:hAnsi="Times New Roman"/>
          <w:sz w:val="24"/>
          <w:szCs w:val="24"/>
        </w:rPr>
        <w:t>Трушникова</w:t>
      </w:r>
      <w:proofErr w:type="spellEnd"/>
      <w:r w:rsidR="00BA1445">
        <w:rPr>
          <w:rFonts w:ascii="Times New Roman" w:hAnsi="Times New Roman"/>
          <w:sz w:val="24"/>
          <w:szCs w:val="24"/>
        </w:rPr>
        <w:t xml:space="preserve"> Любовь</w:t>
      </w:r>
      <w:r w:rsidR="00675293">
        <w:rPr>
          <w:rFonts w:ascii="Times New Roman" w:hAnsi="Times New Roman"/>
          <w:sz w:val="24"/>
          <w:szCs w:val="24"/>
        </w:rPr>
        <w:t xml:space="preserve"> Викторовна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C77548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730D3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>Акционерное общество "Электронные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 xml:space="preserve">Адрес: 123112, г. Москва, ул. </w:t>
      </w:r>
      <w:proofErr w:type="spellStart"/>
      <w:r w:rsidR="00E8771C" w:rsidRPr="00730D3E">
        <w:rPr>
          <w:spacing w:val="-6"/>
        </w:rPr>
        <w:t>Тестовская</w:t>
      </w:r>
      <w:proofErr w:type="spellEnd"/>
      <w:r w:rsidR="00E8771C" w:rsidRPr="00730D3E">
        <w:rPr>
          <w:spacing w:val="-6"/>
        </w:rPr>
        <w:t>, д.10 тел. 84955140204.</w:t>
      </w:r>
    </w:p>
    <w:p w:rsidR="00CB49A8" w:rsidRDefault="00CB49A8" w:rsidP="00730D3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6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732ACD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9C77D2" w:rsidRPr="009C77D2">
        <w:t xml:space="preserve"> </w:t>
      </w:r>
      <w:r w:rsidR="009C77D2" w:rsidRPr="00C87E51">
        <w:t xml:space="preserve">Постановление администрации Дальнеконстантиновского муниципального округа Нижегородской области </w:t>
      </w:r>
      <w:r w:rsidR="009C77D2" w:rsidRPr="00B738BF">
        <w:t xml:space="preserve">от </w:t>
      </w:r>
      <w:r w:rsidR="009C77D2" w:rsidRPr="00C67722">
        <w:t xml:space="preserve">18.12.2025 №4178 «О проведении аукциона в </w:t>
      </w:r>
      <w:r w:rsidR="009C77D2" w:rsidRPr="00C67722">
        <w:lastRenderedPageBreak/>
        <w:t>электронной форме, открытого по составу участников и форме подачи предложений по цене на право заключения договора аренды земельного участка»</w:t>
      </w:r>
      <w:r w:rsidRPr="00C87E51">
        <w:t xml:space="preserve">; </w:t>
      </w:r>
    </w:p>
    <w:p w:rsidR="00CB49A8" w:rsidRDefault="00CB49A8" w:rsidP="00730D3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Pr="00730D3E">
        <w:t xml:space="preserve"> Земельного кодекса Российской Федерации.</w:t>
      </w:r>
    </w:p>
    <w:p w:rsidR="00794290" w:rsidRPr="0040738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муниципального округа Нижегородской области.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Pr="0040738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 xml:space="preserve">Начало приема заявок на участие в торгах – </w:t>
      </w:r>
      <w:r w:rsidR="00EC7459">
        <w:rPr>
          <w:b/>
        </w:rPr>
        <w:t>3</w:t>
      </w:r>
      <w:r w:rsidR="0097636D">
        <w:rPr>
          <w:b/>
        </w:rPr>
        <w:t>1</w:t>
      </w:r>
      <w:r w:rsidR="00EC7459">
        <w:rPr>
          <w:b/>
        </w:rPr>
        <w:t>.01.2026</w:t>
      </w:r>
      <w:r w:rsidRPr="00C35434">
        <w:rPr>
          <w:b/>
        </w:rPr>
        <w:t xml:space="preserve"> в </w:t>
      </w:r>
      <w:r w:rsidR="00C10A06">
        <w:rPr>
          <w:b/>
        </w:rPr>
        <w:t>09</w:t>
      </w:r>
      <w:r w:rsidRPr="00C35434">
        <w:rPr>
          <w:b/>
        </w:rPr>
        <w:t>:00.</w:t>
      </w: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 xml:space="preserve">Окончание приема заявок на участие в торгах – </w:t>
      </w:r>
      <w:r w:rsidR="0068252F">
        <w:rPr>
          <w:b/>
        </w:rPr>
        <w:t>1</w:t>
      </w:r>
      <w:r w:rsidR="0097636D">
        <w:rPr>
          <w:b/>
        </w:rPr>
        <w:t>1</w:t>
      </w:r>
      <w:r w:rsidR="00EC7459">
        <w:rPr>
          <w:b/>
        </w:rPr>
        <w:t>.02.2026</w:t>
      </w:r>
      <w:r w:rsidRPr="00C35434">
        <w:rPr>
          <w:b/>
        </w:rPr>
        <w:t xml:space="preserve"> в </w:t>
      </w:r>
      <w:r w:rsidR="00721898">
        <w:rPr>
          <w:b/>
        </w:rPr>
        <w:t>09</w:t>
      </w:r>
      <w:r w:rsidRPr="00C35434">
        <w:rPr>
          <w:b/>
        </w:rPr>
        <w:t>:00.</w:t>
      </w: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 xml:space="preserve">Срок поступления задатка на счет организатора – по </w:t>
      </w:r>
      <w:bookmarkStart w:id="2" w:name="_Hlk204845725"/>
      <w:r w:rsidR="0068252F">
        <w:rPr>
          <w:b/>
        </w:rPr>
        <w:t>1</w:t>
      </w:r>
      <w:r w:rsidR="0097636D">
        <w:rPr>
          <w:b/>
        </w:rPr>
        <w:t>1</w:t>
      </w:r>
      <w:r w:rsidR="00EC7459">
        <w:rPr>
          <w:b/>
        </w:rPr>
        <w:t>.02.2026</w:t>
      </w:r>
      <w:r w:rsidRPr="00C35434">
        <w:rPr>
          <w:b/>
        </w:rPr>
        <w:t xml:space="preserve"> </w:t>
      </w:r>
      <w:r w:rsidR="00721898">
        <w:rPr>
          <w:b/>
        </w:rPr>
        <w:t>09</w:t>
      </w:r>
      <w:r w:rsidRPr="00C35434">
        <w:rPr>
          <w:b/>
        </w:rPr>
        <w:t>:00</w:t>
      </w:r>
      <w:bookmarkEnd w:id="2"/>
      <w:r w:rsidRPr="00C35434">
        <w:rPr>
          <w:b/>
        </w:rPr>
        <w:t>.</w:t>
      </w: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>Определение участников торгов –</w:t>
      </w:r>
      <w:r w:rsidR="00080650">
        <w:rPr>
          <w:b/>
        </w:rPr>
        <w:t xml:space="preserve"> </w:t>
      </w:r>
      <w:r w:rsidR="0068252F">
        <w:rPr>
          <w:b/>
        </w:rPr>
        <w:t>1</w:t>
      </w:r>
      <w:r w:rsidR="0097636D">
        <w:rPr>
          <w:b/>
        </w:rPr>
        <w:t>1</w:t>
      </w:r>
      <w:r w:rsidR="00EC7459">
        <w:rPr>
          <w:b/>
        </w:rPr>
        <w:t>.02.2026</w:t>
      </w:r>
      <w:r w:rsidRPr="00C35434">
        <w:rPr>
          <w:b/>
        </w:rPr>
        <w:t xml:space="preserve"> в </w:t>
      </w:r>
      <w:r w:rsidR="00721898">
        <w:rPr>
          <w:b/>
        </w:rPr>
        <w:t>09</w:t>
      </w:r>
      <w:r w:rsidRPr="00C35434">
        <w:rPr>
          <w:b/>
        </w:rPr>
        <w:t>:00.</w:t>
      </w: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EC7459">
        <w:rPr>
          <w:b/>
        </w:rPr>
        <w:t>1</w:t>
      </w:r>
      <w:r w:rsidR="0097636D">
        <w:rPr>
          <w:b/>
        </w:rPr>
        <w:t>3</w:t>
      </w:r>
      <w:r w:rsidR="00EC7459">
        <w:rPr>
          <w:b/>
        </w:rPr>
        <w:t>.02.2026</w:t>
      </w:r>
      <w:r w:rsidRPr="00C35434">
        <w:rPr>
          <w:b/>
        </w:rPr>
        <w:t xml:space="preserve"> в </w:t>
      </w:r>
      <w:r w:rsidR="00721898">
        <w:rPr>
          <w:b/>
        </w:rPr>
        <w:t>09</w:t>
      </w:r>
      <w:r w:rsidRPr="00C35434">
        <w:rPr>
          <w:b/>
        </w:rPr>
        <w:t>:00.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bCs/>
          <w:lang w:eastAsia="ar-SA"/>
        </w:rPr>
        <w:t>аренды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lastRenderedPageBreak/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>
        <w:rPr>
          <w:rFonts w:eastAsia="Calibri"/>
        </w:rPr>
        <w:t>аренды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color w:val="030000"/>
          <w:lang w:eastAsia="ar-SA"/>
        </w:rPr>
        <w:t>аренды</w:t>
      </w:r>
      <w:r w:rsidRPr="00142060">
        <w:rPr>
          <w:color w:val="030000"/>
          <w:lang w:eastAsia="ar-SA"/>
        </w:rPr>
        <w:t>земельного участка задаток ему 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794290" w:rsidRDefault="00794290" w:rsidP="00794290">
      <w:pPr>
        <w:ind w:firstLine="709"/>
        <w:jc w:val="both"/>
        <w:rPr>
          <w:rFonts w:eastAsia="Calibri"/>
          <w:color w:val="FF0000"/>
        </w:rPr>
      </w:pPr>
      <w:r w:rsidRPr="00142060">
        <w:rPr>
          <w:rFonts w:eastAsia="Calibri"/>
        </w:rPr>
        <w:t>Срок внесения задатка, т.е. поступления суммы задатка на счет оператора электронной площадки: не позднее</w:t>
      </w:r>
      <w:r w:rsidR="00EC7459">
        <w:rPr>
          <w:rFonts w:eastAsia="Calibri"/>
        </w:rPr>
        <w:t xml:space="preserve"> </w:t>
      </w:r>
      <w:r w:rsidR="0068252F">
        <w:rPr>
          <w:b/>
        </w:rPr>
        <w:t>1</w:t>
      </w:r>
      <w:r w:rsidR="0097636D">
        <w:rPr>
          <w:b/>
        </w:rPr>
        <w:t>1</w:t>
      </w:r>
      <w:r w:rsidR="00EC7459">
        <w:rPr>
          <w:b/>
        </w:rPr>
        <w:t>.02.2026</w:t>
      </w:r>
      <w:r w:rsidR="008E2A62" w:rsidRPr="00C35434">
        <w:rPr>
          <w:b/>
        </w:rPr>
        <w:t xml:space="preserve"> </w:t>
      </w:r>
      <w:r w:rsidR="009D12DE">
        <w:rPr>
          <w:b/>
        </w:rPr>
        <w:t>09</w:t>
      </w:r>
      <w:r w:rsidR="008E2A62" w:rsidRPr="00C35434">
        <w:rPr>
          <w:b/>
        </w:rPr>
        <w:t>:00</w:t>
      </w:r>
      <w:r w:rsidR="008A2A10">
        <w:rPr>
          <w:b/>
        </w:rPr>
        <w:t xml:space="preserve"> ча</w:t>
      </w:r>
      <w:r w:rsidRPr="00C35434">
        <w:rPr>
          <w:b/>
        </w:rPr>
        <w:t>с. 00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bCs/>
          <w:lang w:eastAsia="ar-SA"/>
        </w:rPr>
        <w:t>аренды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lastRenderedPageBreak/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D702D" w:rsidRPr="00B738BF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B738BF">
        <w:rPr>
          <w:bCs/>
        </w:rPr>
        <w:t xml:space="preserve">Заявка </w:t>
      </w:r>
      <w:r w:rsidRPr="00B738BF">
        <w:t>(образец которой приведен в Приложении № 1)</w:t>
      </w:r>
      <w:r w:rsidRPr="00B738BF">
        <w:rPr>
          <w:bCs/>
        </w:rPr>
        <w:t xml:space="preserve"> на участие в электронном аукционе</w:t>
      </w:r>
      <w:r w:rsidR="00075895" w:rsidRPr="00B738BF">
        <w:rPr>
          <w:bCs/>
        </w:rPr>
        <w:t xml:space="preserve"> заполняется на бумажном носителе, преобразуется в электронно-цифровую форму путем сканирования с сохранением </w:t>
      </w:r>
      <w:r w:rsidR="007D702D" w:rsidRPr="00B738BF">
        <w:rPr>
          <w:bCs/>
        </w:rPr>
        <w:t>всех</w:t>
      </w:r>
      <w:r w:rsidR="00075895" w:rsidRPr="00B738BF">
        <w:rPr>
          <w:bCs/>
        </w:rPr>
        <w:t xml:space="preserve"> реквизитов, заверенн</w:t>
      </w:r>
      <w:r w:rsidR="007D702D" w:rsidRPr="00B738BF">
        <w:rPr>
          <w:bCs/>
        </w:rPr>
        <w:t>ая</w:t>
      </w:r>
      <w:r w:rsidR="00075895" w:rsidRPr="00B738BF">
        <w:rPr>
          <w:bCs/>
        </w:rPr>
        <w:t xml:space="preserve"> электронной подписью претендента либо лица, имеющего право действовать от имени претендента</w:t>
      </w:r>
      <w:r w:rsidR="007D702D" w:rsidRPr="00B738BF">
        <w:rPr>
          <w:bCs/>
        </w:rPr>
        <w:t>.</w:t>
      </w:r>
    </w:p>
    <w:p w:rsidR="00794290" w:rsidRPr="00142060" w:rsidRDefault="007D702D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B738BF">
        <w:rPr>
          <w:bCs/>
        </w:rPr>
        <w:t>П</w:t>
      </w:r>
      <w:r w:rsidR="00794290" w:rsidRPr="00B738BF">
        <w:rPr>
          <w:bCs/>
        </w:rPr>
        <w:t xml:space="preserve">риложения к </w:t>
      </w:r>
      <w:r w:rsidRPr="00B738BF">
        <w:rPr>
          <w:bCs/>
        </w:rPr>
        <w:t>заявке</w:t>
      </w:r>
      <w:r w:rsidR="00794290" w:rsidRPr="00B738BF">
        <w:rPr>
          <w:bCs/>
        </w:rPr>
        <w:t xml:space="preserve"> на бумажном носителе – преобразованные в электронно-цифровую форму путем сканирования с сохранением их реквизитов, заверенные электронной подписьюпретендента либо лица, имеющего право действовать от имени претендента</w:t>
      </w:r>
      <w:r w:rsidRPr="00B738BF">
        <w:rPr>
          <w:bCs/>
        </w:rPr>
        <w:t xml:space="preserve"> прикрепляются отдельными файлами</w:t>
      </w:r>
      <w:r w:rsidR="00794290" w:rsidRPr="00B738BF">
        <w:rPr>
          <w:bCs/>
        </w:rPr>
        <w:t>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794290" w:rsidP="00794290">
      <w:pPr>
        <w:ind w:firstLine="540"/>
        <w:jc w:val="both"/>
      </w:pPr>
      <w:r w:rsidRPr="00142060">
        <w:t>1) копии</w:t>
      </w:r>
      <w:r>
        <w:t xml:space="preserve"> всех листов</w:t>
      </w:r>
      <w:r w:rsidRPr="00142060">
        <w:t xml:space="preserve"> документов, удостоверяющих личность заявителя (для </w:t>
      </w:r>
      <w:r>
        <w:t>физических лиц</w:t>
      </w:r>
      <w:r w:rsidRPr="00142060">
        <w:t xml:space="preserve">); </w:t>
      </w:r>
    </w:p>
    <w:p w:rsidR="00794290" w:rsidRPr="00142060" w:rsidRDefault="00794290" w:rsidP="00794290">
      <w:pPr>
        <w:ind w:firstLine="540"/>
        <w:jc w:val="both"/>
      </w:pPr>
      <w:r>
        <w:t xml:space="preserve">2) </w:t>
      </w:r>
      <w:r w:rsidRPr="00142060"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794290" w:rsidRPr="00142060" w:rsidRDefault="00794290" w:rsidP="00794290">
      <w:pPr>
        <w:ind w:firstLine="540"/>
        <w:jc w:val="both"/>
      </w:pPr>
      <w:r w:rsidRPr="00142060">
        <w:t xml:space="preserve">3) документы,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7" w:history="1">
        <w:r w:rsidRPr="00142060">
          <w:rPr>
            <w:color w:val="0000FF"/>
            <w:u w:val="single"/>
          </w:rPr>
          <w:t>порядке</w:t>
        </w:r>
      </w:hyperlink>
      <w:r w:rsidRPr="00142060"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 w:rsidR="00835376" w:rsidRPr="00B738BF">
        <w:t>Действие лица от имени претендента</w:t>
      </w:r>
      <w:r w:rsidR="00E61ACF" w:rsidRPr="00B738BF">
        <w:t xml:space="preserve"> по доверенности</w:t>
      </w:r>
      <w:r w:rsidR="00835376" w:rsidRPr="00B738BF">
        <w:t xml:space="preserve"> также должно отображаться и на электронной торговой площадке.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При приеме заявок от претендентовоператор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97636D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</w:t>
      </w:r>
      <w:r w:rsidRPr="00B65958">
        <w:rPr>
          <w:lang w:eastAsia="ar-SA"/>
        </w:rPr>
        <w:lastRenderedPageBreak/>
        <w:t>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8" w:history="1">
        <w:r w:rsidRPr="009B05E8">
          <w:rPr>
            <w:rStyle w:val="a7"/>
          </w:rPr>
          <w:t>https://www.fabrikant.ru.</w:t>
        </w:r>
      </w:hyperlink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*Составляет 1% от начальной цены, установленной в процедуре, но не более чем 5 000 (пять тысяч) рублей. НДС начисляется дополнительно по ставке, установленной пунктом 3 статьи 164 НК РФ на дату взимания платы.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20%.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</w:t>
      </w:r>
      <w:r>
        <w:lastRenderedPageBreak/>
        <w:t xml:space="preserve">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сдействующим законодательством не имеет права быть участником аукциона,покупателем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членахколлегиальных исполнительных органов заявителя, лицах, исполняющих функцииединоличного исполнительного органа заявителя, являющегося юридическимлицом,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Порезультатамрассмотрения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ваукционе на электронной площадке не позднее, чем на следующий рабочий деньпосле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Заявителям, признанным Участниками, и Заявителям, не допущенным кучастию в аукционе, Оператор электронной площадки направляет в электроннойформе в Личные кабинеты Заявителей уведомления о принятых в их отношениирешениях, не позднее следующего рабочего дня после дня подписания протоколарассмотрения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всоответствии с Регламентом и Инструкциями считается участвующим в аукционес даты и времени начала проведения аукциона, указанных в Извещении.</w:t>
      </w:r>
    </w:p>
    <w:p w:rsidR="00080650" w:rsidRDefault="0008065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513755">
        <w:rPr>
          <w:rFonts w:eastAsia="Calibri"/>
          <w:color w:val="000000"/>
        </w:rPr>
        <w:lastRenderedPageBreak/>
        <w:t xml:space="preserve">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несостоявшимся в случаях, если: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236B5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>Условия и сроки заключения договора аренды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9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аренды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При этом арендная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0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аренды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lastRenderedPageBreak/>
        <w:t>Победитель аукциона или иное лицо, с которым заключается договор аренды земельного участка в соответствии с пунктами 13, 14</w:t>
      </w:r>
      <w:r w:rsidR="00336D2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336D2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аренды земельного участка в течение </w:t>
      </w:r>
      <w:r w:rsidR="00336D2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336D2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336D24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аренды земельного участка в течение </w:t>
      </w:r>
      <w:r w:rsidR="00336D2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336D2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336D24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аренды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 w:rsidR="00336D24">
        <w:rPr>
          <w:rFonts w:eastAsia="Calibri"/>
          <w:color w:val="000000"/>
        </w:rPr>
        <w:t>таким участником</w:t>
      </w:r>
      <w:r w:rsidRPr="00513755">
        <w:rPr>
          <w:rFonts w:eastAsia="Calibri"/>
          <w:color w:val="000000"/>
        </w:rPr>
        <w:t xml:space="preserve">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336D2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336D2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336D24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>
        <w:rPr>
          <w:rFonts w:eastAsia="Calibri"/>
          <w:color w:val="000000"/>
        </w:rPr>
        <w:t>аренды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336D2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336D2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336D2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336D2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336D24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>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794290" w:rsidRPr="00513755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F617FB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425"/>
    <w:rsid w:val="000059AF"/>
    <w:rsid w:val="0001297F"/>
    <w:rsid w:val="000406F8"/>
    <w:rsid w:val="0005616D"/>
    <w:rsid w:val="00075895"/>
    <w:rsid w:val="00080650"/>
    <w:rsid w:val="000A161C"/>
    <w:rsid w:val="000A3075"/>
    <w:rsid w:val="000E48D5"/>
    <w:rsid w:val="000E5C15"/>
    <w:rsid w:val="000F447A"/>
    <w:rsid w:val="000F50CD"/>
    <w:rsid w:val="000F6611"/>
    <w:rsid w:val="00102CCE"/>
    <w:rsid w:val="00112927"/>
    <w:rsid w:val="00112CF5"/>
    <w:rsid w:val="00127F5C"/>
    <w:rsid w:val="00143430"/>
    <w:rsid w:val="00152BB2"/>
    <w:rsid w:val="00161E3B"/>
    <w:rsid w:val="001623EC"/>
    <w:rsid w:val="001822C5"/>
    <w:rsid w:val="001A2B83"/>
    <w:rsid w:val="001A434B"/>
    <w:rsid w:val="001B1BFD"/>
    <w:rsid w:val="001C5FD1"/>
    <w:rsid w:val="001C6763"/>
    <w:rsid w:val="001C7EF9"/>
    <w:rsid w:val="001D46BE"/>
    <w:rsid w:val="001D543D"/>
    <w:rsid w:val="001F231D"/>
    <w:rsid w:val="001F66A5"/>
    <w:rsid w:val="00204488"/>
    <w:rsid w:val="00216B2B"/>
    <w:rsid w:val="00224909"/>
    <w:rsid w:val="00224AA4"/>
    <w:rsid w:val="00230FC9"/>
    <w:rsid w:val="002319F1"/>
    <w:rsid w:val="0023221E"/>
    <w:rsid w:val="002325BB"/>
    <w:rsid w:val="00236B5A"/>
    <w:rsid w:val="00241608"/>
    <w:rsid w:val="00241E55"/>
    <w:rsid w:val="002620CD"/>
    <w:rsid w:val="00276CDD"/>
    <w:rsid w:val="002803E7"/>
    <w:rsid w:val="002841EC"/>
    <w:rsid w:val="002B19B1"/>
    <w:rsid w:val="002B56B4"/>
    <w:rsid w:val="002B5CE7"/>
    <w:rsid w:val="002C4F75"/>
    <w:rsid w:val="002D0DBA"/>
    <w:rsid w:val="0030277F"/>
    <w:rsid w:val="00333334"/>
    <w:rsid w:val="00336275"/>
    <w:rsid w:val="00336D24"/>
    <w:rsid w:val="00337209"/>
    <w:rsid w:val="00344CA7"/>
    <w:rsid w:val="003500AD"/>
    <w:rsid w:val="00360B8B"/>
    <w:rsid w:val="0037626B"/>
    <w:rsid w:val="003827EF"/>
    <w:rsid w:val="00390AC6"/>
    <w:rsid w:val="00394DC0"/>
    <w:rsid w:val="003A69D8"/>
    <w:rsid w:val="003D4062"/>
    <w:rsid w:val="003E022A"/>
    <w:rsid w:val="003E199D"/>
    <w:rsid w:val="003F1814"/>
    <w:rsid w:val="003F54B2"/>
    <w:rsid w:val="00402881"/>
    <w:rsid w:val="00403E3C"/>
    <w:rsid w:val="00425A81"/>
    <w:rsid w:val="00425C62"/>
    <w:rsid w:val="00430DF6"/>
    <w:rsid w:val="00431CE8"/>
    <w:rsid w:val="0043251E"/>
    <w:rsid w:val="00463CB9"/>
    <w:rsid w:val="00471489"/>
    <w:rsid w:val="00471D7F"/>
    <w:rsid w:val="00472704"/>
    <w:rsid w:val="0047476F"/>
    <w:rsid w:val="004825DB"/>
    <w:rsid w:val="00491582"/>
    <w:rsid w:val="00496DBE"/>
    <w:rsid w:val="00497E74"/>
    <w:rsid w:val="004A7573"/>
    <w:rsid w:val="004C1425"/>
    <w:rsid w:val="004E55B0"/>
    <w:rsid w:val="00503CAA"/>
    <w:rsid w:val="005042D4"/>
    <w:rsid w:val="0050544F"/>
    <w:rsid w:val="00513755"/>
    <w:rsid w:val="00515E09"/>
    <w:rsid w:val="00520F09"/>
    <w:rsid w:val="005269D8"/>
    <w:rsid w:val="005444DF"/>
    <w:rsid w:val="00554D73"/>
    <w:rsid w:val="00554DE3"/>
    <w:rsid w:val="0057253F"/>
    <w:rsid w:val="005726A6"/>
    <w:rsid w:val="005813C5"/>
    <w:rsid w:val="005835E8"/>
    <w:rsid w:val="00586B67"/>
    <w:rsid w:val="005A06EC"/>
    <w:rsid w:val="005A2869"/>
    <w:rsid w:val="005A74A0"/>
    <w:rsid w:val="005B6125"/>
    <w:rsid w:val="005D02CA"/>
    <w:rsid w:val="005D6A4E"/>
    <w:rsid w:val="005E03FB"/>
    <w:rsid w:val="005E73D5"/>
    <w:rsid w:val="005F50ED"/>
    <w:rsid w:val="005F5E65"/>
    <w:rsid w:val="0060516C"/>
    <w:rsid w:val="00610EB6"/>
    <w:rsid w:val="00611197"/>
    <w:rsid w:val="006303A8"/>
    <w:rsid w:val="00641398"/>
    <w:rsid w:val="006427FF"/>
    <w:rsid w:val="006441F3"/>
    <w:rsid w:val="0065599B"/>
    <w:rsid w:val="00661938"/>
    <w:rsid w:val="00661C14"/>
    <w:rsid w:val="00665BA2"/>
    <w:rsid w:val="00675293"/>
    <w:rsid w:val="00677D79"/>
    <w:rsid w:val="00681DC9"/>
    <w:rsid w:val="0068252F"/>
    <w:rsid w:val="00684F10"/>
    <w:rsid w:val="0069599B"/>
    <w:rsid w:val="00696798"/>
    <w:rsid w:val="006A1798"/>
    <w:rsid w:val="006A201F"/>
    <w:rsid w:val="006A24F6"/>
    <w:rsid w:val="006E77F5"/>
    <w:rsid w:val="00706D6E"/>
    <w:rsid w:val="00721898"/>
    <w:rsid w:val="007270B2"/>
    <w:rsid w:val="00730D3E"/>
    <w:rsid w:val="00731931"/>
    <w:rsid w:val="00732ACD"/>
    <w:rsid w:val="00744A60"/>
    <w:rsid w:val="00764A11"/>
    <w:rsid w:val="00765816"/>
    <w:rsid w:val="00767249"/>
    <w:rsid w:val="00770046"/>
    <w:rsid w:val="00787BAA"/>
    <w:rsid w:val="007903CA"/>
    <w:rsid w:val="0079338A"/>
    <w:rsid w:val="00794290"/>
    <w:rsid w:val="007A1BC9"/>
    <w:rsid w:val="007A3784"/>
    <w:rsid w:val="007D5C94"/>
    <w:rsid w:val="007D702D"/>
    <w:rsid w:val="007F0160"/>
    <w:rsid w:val="007F7ABB"/>
    <w:rsid w:val="0080121B"/>
    <w:rsid w:val="00801939"/>
    <w:rsid w:val="00801BC5"/>
    <w:rsid w:val="0081277B"/>
    <w:rsid w:val="008263DF"/>
    <w:rsid w:val="00835376"/>
    <w:rsid w:val="0084054F"/>
    <w:rsid w:val="00861F7F"/>
    <w:rsid w:val="00895A92"/>
    <w:rsid w:val="008A1098"/>
    <w:rsid w:val="008A2A10"/>
    <w:rsid w:val="008B2CBE"/>
    <w:rsid w:val="008B3704"/>
    <w:rsid w:val="008B4370"/>
    <w:rsid w:val="008C156F"/>
    <w:rsid w:val="008D2A04"/>
    <w:rsid w:val="008D35E1"/>
    <w:rsid w:val="008E263C"/>
    <w:rsid w:val="008E2A62"/>
    <w:rsid w:val="008F5217"/>
    <w:rsid w:val="008F755B"/>
    <w:rsid w:val="00900ADD"/>
    <w:rsid w:val="0090258E"/>
    <w:rsid w:val="009118EE"/>
    <w:rsid w:val="00912C9B"/>
    <w:rsid w:val="009131ED"/>
    <w:rsid w:val="00927954"/>
    <w:rsid w:val="00927FC7"/>
    <w:rsid w:val="0094741C"/>
    <w:rsid w:val="009575C4"/>
    <w:rsid w:val="00961049"/>
    <w:rsid w:val="0096220A"/>
    <w:rsid w:val="0096265E"/>
    <w:rsid w:val="009743B2"/>
    <w:rsid w:val="0097636D"/>
    <w:rsid w:val="00980B82"/>
    <w:rsid w:val="00983ED2"/>
    <w:rsid w:val="0098439D"/>
    <w:rsid w:val="00985622"/>
    <w:rsid w:val="00991274"/>
    <w:rsid w:val="009915FB"/>
    <w:rsid w:val="00995D38"/>
    <w:rsid w:val="009B4F3D"/>
    <w:rsid w:val="009C72E0"/>
    <w:rsid w:val="009C77D2"/>
    <w:rsid w:val="009D12DE"/>
    <w:rsid w:val="009E57F9"/>
    <w:rsid w:val="009E5C32"/>
    <w:rsid w:val="009F0A26"/>
    <w:rsid w:val="009F1E6D"/>
    <w:rsid w:val="009F494D"/>
    <w:rsid w:val="00A03685"/>
    <w:rsid w:val="00A05345"/>
    <w:rsid w:val="00A061B7"/>
    <w:rsid w:val="00A27ACE"/>
    <w:rsid w:val="00A300FE"/>
    <w:rsid w:val="00A33023"/>
    <w:rsid w:val="00A467F8"/>
    <w:rsid w:val="00A7133B"/>
    <w:rsid w:val="00A92C70"/>
    <w:rsid w:val="00A9681D"/>
    <w:rsid w:val="00AA3383"/>
    <w:rsid w:val="00AB42A1"/>
    <w:rsid w:val="00AC0A94"/>
    <w:rsid w:val="00AC2AAB"/>
    <w:rsid w:val="00AC3458"/>
    <w:rsid w:val="00AD2E49"/>
    <w:rsid w:val="00AE31CA"/>
    <w:rsid w:val="00AF52E9"/>
    <w:rsid w:val="00B067BC"/>
    <w:rsid w:val="00B235F7"/>
    <w:rsid w:val="00B24B13"/>
    <w:rsid w:val="00B43C03"/>
    <w:rsid w:val="00B45C8E"/>
    <w:rsid w:val="00B5216C"/>
    <w:rsid w:val="00B54D80"/>
    <w:rsid w:val="00B67966"/>
    <w:rsid w:val="00B738BF"/>
    <w:rsid w:val="00B76453"/>
    <w:rsid w:val="00B77434"/>
    <w:rsid w:val="00B81DA6"/>
    <w:rsid w:val="00B86476"/>
    <w:rsid w:val="00B914E6"/>
    <w:rsid w:val="00B9666C"/>
    <w:rsid w:val="00BA12A5"/>
    <w:rsid w:val="00BA1445"/>
    <w:rsid w:val="00BA4E0D"/>
    <w:rsid w:val="00BA6FBC"/>
    <w:rsid w:val="00BC148E"/>
    <w:rsid w:val="00BC2386"/>
    <w:rsid w:val="00BC3D49"/>
    <w:rsid w:val="00BC7C28"/>
    <w:rsid w:val="00BD08E1"/>
    <w:rsid w:val="00BE2356"/>
    <w:rsid w:val="00C029E2"/>
    <w:rsid w:val="00C055DA"/>
    <w:rsid w:val="00C10731"/>
    <w:rsid w:val="00C10A06"/>
    <w:rsid w:val="00C110BF"/>
    <w:rsid w:val="00C22AEA"/>
    <w:rsid w:val="00C24A0C"/>
    <w:rsid w:val="00C25D27"/>
    <w:rsid w:val="00C30179"/>
    <w:rsid w:val="00C35434"/>
    <w:rsid w:val="00C42B0A"/>
    <w:rsid w:val="00C47FD4"/>
    <w:rsid w:val="00C67722"/>
    <w:rsid w:val="00C77548"/>
    <w:rsid w:val="00C84BBB"/>
    <w:rsid w:val="00C87E51"/>
    <w:rsid w:val="00C904C9"/>
    <w:rsid w:val="00CB130C"/>
    <w:rsid w:val="00CB49A8"/>
    <w:rsid w:val="00CC0562"/>
    <w:rsid w:val="00CC496F"/>
    <w:rsid w:val="00CD3E1C"/>
    <w:rsid w:val="00CD72FD"/>
    <w:rsid w:val="00CE636E"/>
    <w:rsid w:val="00CF5DE6"/>
    <w:rsid w:val="00D058A6"/>
    <w:rsid w:val="00D14F4C"/>
    <w:rsid w:val="00D17BC7"/>
    <w:rsid w:val="00D211D2"/>
    <w:rsid w:val="00D260A1"/>
    <w:rsid w:val="00D3348A"/>
    <w:rsid w:val="00D4307B"/>
    <w:rsid w:val="00D437C9"/>
    <w:rsid w:val="00D471C1"/>
    <w:rsid w:val="00D54996"/>
    <w:rsid w:val="00D55FD4"/>
    <w:rsid w:val="00D6050B"/>
    <w:rsid w:val="00D801EC"/>
    <w:rsid w:val="00D9369C"/>
    <w:rsid w:val="00D9570D"/>
    <w:rsid w:val="00DA4D0D"/>
    <w:rsid w:val="00DA6ED1"/>
    <w:rsid w:val="00DA6F07"/>
    <w:rsid w:val="00DB0135"/>
    <w:rsid w:val="00DB18A0"/>
    <w:rsid w:val="00DB7842"/>
    <w:rsid w:val="00DB7C12"/>
    <w:rsid w:val="00DC077A"/>
    <w:rsid w:val="00DC4546"/>
    <w:rsid w:val="00DD27CA"/>
    <w:rsid w:val="00DE534B"/>
    <w:rsid w:val="00DF1ED2"/>
    <w:rsid w:val="00DF26DC"/>
    <w:rsid w:val="00DF55E6"/>
    <w:rsid w:val="00E03A9B"/>
    <w:rsid w:val="00E138BC"/>
    <w:rsid w:val="00E14EA2"/>
    <w:rsid w:val="00E15535"/>
    <w:rsid w:val="00E16935"/>
    <w:rsid w:val="00E17916"/>
    <w:rsid w:val="00E20160"/>
    <w:rsid w:val="00E467C6"/>
    <w:rsid w:val="00E61ACF"/>
    <w:rsid w:val="00E71765"/>
    <w:rsid w:val="00E84FB9"/>
    <w:rsid w:val="00E86CB0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6CEB"/>
    <w:rsid w:val="00EC7124"/>
    <w:rsid w:val="00EC7459"/>
    <w:rsid w:val="00EF20C8"/>
    <w:rsid w:val="00F035B5"/>
    <w:rsid w:val="00F12134"/>
    <w:rsid w:val="00F151DC"/>
    <w:rsid w:val="00F17296"/>
    <w:rsid w:val="00F23E06"/>
    <w:rsid w:val="00F27145"/>
    <w:rsid w:val="00F354FA"/>
    <w:rsid w:val="00F6094C"/>
    <w:rsid w:val="00F617FB"/>
    <w:rsid w:val="00F70776"/>
    <w:rsid w:val="00F84DBE"/>
    <w:rsid w:val="00F95B6E"/>
    <w:rsid w:val="00F967BF"/>
    <w:rsid w:val="00FA1DB4"/>
    <w:rsid w:val="00FA2980"/>
    <w:rsid w:val="00FA44A8"/>
    <w:rsid w:val="00FA7E28"/>
    <w:rsid w:val="00FB55D6"/>
    <w:rsid w:val="00FD32BA"/>
    <w:rsid w:val="00FE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AD7"/>
  <w15:docId w15:val="{8759FB0C-26A5-41AA-8263-590D5EEE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character" w:styleId="af1">
    <w:name w:val="page number"/>
    <w:rsid w:val="0058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." TargetMode="External"/><Relationship Id="rId13" Type="http://schemas.openxmlformats.org/officeDocument/2006/relationships/hyperlink" Target="https://www.fabrik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18AF8E902C8A8369C11EDDC3A943C2AAEAED217A7EF984E6EEF39448E5D826804E731581A443F6h3BBF" TargetMode="External"/><Relationship Id="rId12" Type="http://schemas.openxmlformats.org/officeDocument/2006/relationships/hyperlink" Target="https://www.fabrik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brikant.ru/" TargetMode="External"/><Relationship Id="rId11" Type="http://schemas.openxmlformats.org/officeDocument/2006/relationships/hyperlink" Target="https://www.fabrikant.ru/" TargetMode="External"/><Relationship Id="rId5" Type="http://schemas.openxmlformats.org/officeDocument/2006/relationships/hyperlink" Target="https://www.fabrik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8</Pages>
  <Words>4349</Words>
  <Characters>24794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29085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56</cp:revision>
  <cp:lastPrinted>2026-01-29T10:55:00Z</cp:lastPrinted>
  <dcterms:created xsi:type="dcterms:W3CDTF">2025-01-30T06:14:00Z</dcterms:created>
  <dcterms:modified xsi:type="dcterms:W3CDTF">2026-01-30T06:59:00Z</dcterms:modified>
</cp:coreProperties>
</file>